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3B" w:rsidRPr="009B723B" w:rsidRDefault="009B723B" w:rsidP="009B723B">
      <w:pPr>
        <w:spacing w:before="100" w:beforeAutospacing="1" w:after="100" w:afterAutospacing="1" w:line="240" w:lineRule="auto"/>
        <w:outlineLvl w:val="2"/>
        <w:rPr>
          <w:rFonts w:ascii="Arial" w:eastAsia="Times New Roman" w:hAnsi="Arial" w:cs="Arial"/>
          <w:b/>
          <w:bCs/>
          <w:sz w:val="27"/>
          <w:szCs w:val="27"/>
          <w:lang/>
        </w:rPr>
      </w:pPr>
      <w:r w:rsidRPr="009B723B">
        <w:rPr>
          <w:rFonts w:ascii="Arial" w:eastAsia="Times New Roman" w:hAnsi="Arial" w:cs="Arial"/>
          <w:b/>
          <w:bCs/>
          <w:sz w:val="27"/>
          <w:szCs w:val="27"/>
          <w:lang/>
        </w:rPr>
        <w:t xml:space="preserve">From Facing History and Ourselves: </w:t>
      </w:r>
      <w:r w:rsidRPr="009B723B">
        <w:rPr>
          <w:rFonts w:ascii="Arial" w:eastAsia="Times New Roman" w:hAnsi="Arial" w:cs="Arial"/>
          <w:b/>
          <w:bCs/>
          <w:sz w:val="27"/>
          <w:szCs w:val="27"/>
          <w:lang/>
        </w:rPr>
        <w:br/>
        <w:t>Holocaust and Human Behavior, Chapter 6</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 xml:space="preserve">German Jews saw </w:t>
      </w:r>
      <w:r w:rsidRPr="009B723B">
        <w:rPr>
          <w:rFonts w:ascii="Arial" w:eastAsia="Times New Roman" w:hAnsi="Arial" w:cs="Arial"/>
          <w:i/>
          <w:iCs/>
          <w:lang/>
        </w:rPr>
        <w:t xml:space="preserve">Kristallnacht </w:t>
      </w:r>
      <w:r w:rsidRPr="009B723B">
        <w:rPr>
          <w:rFonts w:ascii="Arial" w:eastAsia="Times New Roman" w:hAnsi="Arial" w:cs="Arial"/>
          <w:lang/>
        </w:rPr>
        <w:t>as a turning point. So did many “Aryan” Germans. They also made important choices that night and in the days that followed. Dan Bar-On, an Israeli psychologist, describes the decision one family made:</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It was the autumn of 1938. Andre was twelve years old and lived with his parents in a small town in northern Germany. One evening he came home from his youth movement meeting.</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“Daddy,” he said to his father, “we were told at the meeting that tomorrow we are supposed to throw stones at the Jewish shops in town. Should I take part?”</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His father looked at him. “What do you think?”</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 xml:space="preserve">“I don’t know. I have nothing against the Jews – I hardly know them – but everyone is </w:t>
      </w:r>
      <w:proofErr w:type="gramStart"/>
      <w:r w:rsidRPr="009B723B">
        <w:rPr>
          <w:rFonts w:ascii="Arial" w:eastAsia="Times New Roman" w:hAnsi="Arial" w:cs="Arial"/>
          <w:lang/>
        </w:rPr>
        <w:t>going</w:t>
      </w:r>
      <w:proofErr w:type="gramEnd"/>
      <w:r w:rsidRPr="009B723B">
        <w:rPr>
          <w:rFonts w:ascii="Arial" w:eastAsia="Times New Roman" w:hAnsi="Arial" w:cs="Arial"/>
          <w:lang/>
        </w:rPr>
        <w:t xml:space="preserve"> to throw stones. So what should I do?”</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 xml:space="preserve">Their conversation </w:t>
      </w:r>
      <w:proofErr w:type="gramStart"/>
      <w:r w:rsidRPr="009B723B">
        <w:rPr>
          <w:rFonts w:ascii="Arial" w:eastAsia="Times New Roman" w:hAnsi="Arial" w:cs="Arial"/>
          <w:lang/>
        </w:rPr>
        <w:t>proceeded</w:t>
      </w:r>
      <w:proofErr w:type="gramEnd"/>
      <w:r w:rsidRPr="009B723B">
        <w:rPr>
          <w:rFonts w:ascii="Arial" w:eastAsia="Times New Roman" w:hAnsi="Arial" w:cs="Arial"/>
          <w:lang/>
        </w:rPr>
        <w:t>, the son presenting questions to his father, the father turning the questions back to his son.</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“I understand,” said Andre. “You want me to make up my own mind. I’m going for a walk. I’ll let you know what I’ve decided when I come back.”</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When Andre returned a short while later, he approached his parents, who were sitting at the table.</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“I’ve made up my mind, but my decision involves you too.”</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“What is it?”</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“I’ve decided not to throw stones at the Jewish shops. But tomorrow everyone will say, ‘Andre, the son of X, did not take part, he refused to throw stones!’ They will turn against you. What are you going to do?”</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His father’s sigh was one of relief tinged with pride. “While you were out, your mother and I discussed this question. We decided that if you made up your mind to throw stones, we would have to live with your decision, since we had let you decide, after all. But if you decided not to throw stones, we would leave Germany immediately.”</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And that is what they did. The following day, Andre’s family left Germany.</w:t>
      </w:r>
      <w:hyperlink r:id="rId5" w:anchor="1" w:history="1">
        <w:r w:rsidRPr="009B723B">
          <w:rPr>
            <w:rFonts w:ascii="Arial" w:eastAsia="Times New Roman" w:hAnsi="Arial" w:cs="Arial"/>
            <w:color w:val="000000"/>
            <w:u w:val="single"/>
            <w:vertAlign w:val="superscript"/>
            <w:lang/>
          </w:rPr>
          <w:t>1</w:t>
        </w:r>
      </w:hyperlink>
      <w:r w:rsidRPr="009B723B">
        <w:rPr>
          <w:rFonts w:ascii="Arial" w:eastAsia="Times New Roman" w:hAnsi="Arial" w:cs="Arial"/>
          <w:lang/>
        </w:rPr>
        <w:t xml:space="preserve"> </w:t>
      </w:r>
      <w:r w:rsidRPr="009B723B">
        <w:rPr>
          <w:rFonts w:ascii="Arial" w:eastAsia="Times New Roman" w:hAnsi="Arial" w:cs="Arial"/>
          <w:sz w:val="15"/>
          <w:lang/>
        </w:rPr>
        <w:t>[1]</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Other Germans made other choices. Some protested by resigning their membership in the Nazi party – though many made it clear that they were not objecting to anti-Semitism but to mob violence. Others sent anonymous letters of protest to foreign embassies. Still others quietly brought Jewish families food and other necessities to replace items that had been destroyed. Neighbors told one Jewish woman that helping her was a way to “show the Jews that the German people had no part in this – it is only Goebbels and his gang.”</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 xml:space="preserve">Most Germans, however, responded much the way </w:t>
      </w:r>
      <w:proofErr w:type="spellStart"/>
      <w:r w:rsidRPr="009B723B">
        <w:rPr>
          <w:rFonts w:ascii="Arial" w:eastAsia="Times New Roman" w:hAnsi="Arial" w:cs="Arial"/>
          <w:lang/>
        </w:rPr>
        <w:t>Melita</w:t>
      </w:r>
      <w:proofErr w:type="spellEnd"/>
      <w:r w:rsidRPr="009B723B">
        <w:rPr>
          <w:rFonts w:ascii="Arial" w:eastAsia="Times New Roman" w:hAnsi="Arial" w:cs="Arial"/>
          <w:lang/>
        </w:rPr>
        <w:t xml:space="preserve"> </w:t>
      </w:r>
      <w:proofErr w:type="spellStart"/>
      <w:r w:rsidRPr="009B723B">
        <w:rPr>
          <w:rFonts w:ascii="Arial" w:eastAsia="Times New Roman" w:hAnsi="Arial" w:cs="Arial"/>
          <w:lang/>
        </w:rPr>
        <w:t>Maschmann</w:t>
      </w:r>
      <w:proofErr w:type="spellEnd"/>
      <w:r w:rsidRPr="009B723B">
        <w:rPr>
          <w:rFonts w:ascii="Arial" w:eastAsia="Times New Roman" w:hAnsi="Arial" w:cs="Arial"/>
          <w:lang/>
        </w:rPr>
        <w:t xml:space="preserve"> did. She lived in a small suburb of Berlin and knew nothing of </w:t>
      </w:r>
      <w:r w:rsidRPr="009B723B">
        <w:rPr>
          <w:rFonts w:ascii="Arial" w:eastAsia="Times New Roman" w:hAnsi="Arial" w:cs="Arial"/>
          <w:i/>
          <w:iCs/>
          <w:lang/>
        </w:rPr>
        <w:t xml:space="preserve">Kristallnacht </w:t>
      </w:r>
      <w:r w:rsidRPr="009B723B">
        <w:rPr>
          <w:rFonts w:ascii="Arial" w:eastAsia="Times New Roman" w:hAnsi="Arial" w:cs="Arial"/>
          <w:lang/>
        </w:rPr>
        <w:t xml:space="preserve">until the next morning. As she picked her way </w:t>
      </w:r>
      <w:r w:rsidRPr="009B723B">
        <w:rPr>
          <w:rFonts w:ascii="Arial" w:eastAsia="Times New Roman" w:hAnsi="Arial" w:cs="Arial"/>
          <w:lang/>
        </w:rPr>
        <w:lastRenderedPageBreak/>
        <w:t>through the broken glass on her way to work, she asked a policeman what had happened. After he explained, she recalls:</w:t>
      </w:r>
    </w:p>
    <w:p w:rsidR="009B723B" w:rsidRPr="009B723B" w:rsidRDefault="009B723B" w:rsidP="009B723B">
      <w:pPr>
        <w:spacing w:before="100" w:beforeAutospacing="1" w:after="100" w:afterAutospacing="1" w:line="240" w:lineRule="auto"/>
        <w:rPr>
          <w:rFonts w:ascii="Arial" w:eastAsia="Times New Roman" w:hAnsi="Arial" w:cs="Arial"/>
          <w:lang/>
        </w:rPr>
      </w:pPr>
      <w:r w:rsidRPr="009B723B">
        <w:rPr>
          <w:rFonts w:ascii="Arial" w:eastAsia="Times New Roman" w:hAnsi="Arial" w:cs="Arial"/>
          <w:lang/>
        </w:rPr>
        <w:t xml:space="preserve">I went on my way shaking my head. For the space of a second I was clearly aware that something terrible had happened there. </w:t>
      </w:r>
      <w:proofErr w:type="gramStart"/>
      <w:r w:rsidRPr="009B723B">
        <w:rPr>
          <w:rFonts w:ascii="Arial" w:eastAsia="Times New Roman" w:hAnsi="Arial" w:cs="Arial"/>
          <w:lang/>
        </w:rPr>
        <w:t>Something frighteningly brutal.</w:t>
      </w:r>
      <w:proofErr w:type="gramEnd"/>
      <w:r w:rsidRPr="009B723B">
        <w:rPr>
          <w:rFonts w:ascii="Arial" w:eastAsia="Times New Roman" w:hAnsi="Arial" w:cs="Arial"/>
          <w:lang/>
        </w:rPr>
        <w:t xml:space="preserve"> But almost at once I switched over to accepting what had happened as over and done with, and avoiding critical reflection. I said to myself: the Jews are the enemies of the New Germany. Last night they had a taste of what this means... With these or similar thoughts, I constructed for myself a justification of the pogrom. But in any case, I forced the memory of it out of my consciousness as quickly as possible. As the years went by, I grew better and better at switching off quickly in this manner on similar occasions.</w:t>
      </w:r>
      <w:hyperlink r:id="rId6" w:anchor="2" w:history="1">
        <w:r w:rsidRPr="009B723B">
          <w:rPr>
            <w:rFonts w:ascii="Arial" w:eastAsia="Times New Roman" w:hAnsi="Arial" w:cs="Arial"/>
            <w:color w:val="000000"/>
            <w:u w:val="single"/>
            <w:vertAlign w:val="superscript"/>
            <w:lang/>
          </w:rPr>
          <w:t>2</w:t>
        </w:r>
      </w:hyperlink>
      <w:r w:rsidRPr="009B723B">
        <w:rPr>
          <w:rFonts w:ascii="Arial" w:eastAsia="Times New Roman" w:hAnsi="Arial" w:cs="Arial"/>
          <w:lang/>
        </w:rPr>
        <w:t xml:space="preserve"> </w:t>
      </w:r>
      <w:r w:rsidRPr="009B723B">
        <w:rPr>
          <w:rFonts w:ascii="Arial" w:eastAsia="Times New Roman" w:hAnsi="Arial" w:cs="Arial"/>
          <w:sz w:val="15"/>
          <w:lang/>
        </w:rPr>
        <w:t>[2]</w:t>
      </w:r>
    </w:p>
    <w:p w:rsidR="009B723B" w:rsidRPr="009B723B" w:rsidRDefault="009B723B" w:rsidP="009B723B">
      <w:pPr>
        <w:spacing w:before="100" w:beforeAutospacing="1" w:after="100" w:afterAutospacing="1" w:line="240" w:lineRule="auto"/>
        <w:rPr>
          <w:rFonts w:ascii="Arial" w:eastAsia="Times New Roman" w:hAnsi="Arial" w:cs="Arial"/>
          <w:lang/>
        </w:rPr>
      </w:pPr>
      <w:proofErr w:type="spellStart"/>
      <w:r w:rsidRPr="009B723B">
        <w:rPr>
          <w:rFonts w:ascii="Arial" w:eastAsia="Times New Roman" w:hAnsi="Arial" w:cs="Arial"/>
          <w:lang/>
        </w:rPr>
        <w:t>Maschmann</w:t>
      </w:r>
      <w:proofErr w:type="spellEnd"/>
      <w:r w:rsidRPr="009B723B">
        <w:rPr>
          <w:rFonts w:ascii="Arial" w:eastAsia="Times New Roman" w:hAnsi="Arial" w:cs="Arial"/>
          <w:lang/>
        </w:rPr>
        <w:t xml:space="preserve"> was not alone in placing the night in perspective. Dietrich Goldschmidt, a minister in the Confessing Church, explains that for most Germans “the persecution of the Jews, this escalating persecution of the Jews, and the 9th of November – in a sense, that was only one event, next to very many gratifying ones. Here the famous stories of all the things Hitler did come in: ‘He got rid of unemployment, he built the Autobahn, the people started doing well again, </w:t>
      </w:r>
      <w:proofErr w:type="gramStart"/>
      <w:r w:rsidRPr="009B723B">
        <w:rPr>
          <w:rFonts w:ascii="Arial" w:eastAsia="Times New Roman" w:hAnsi="Arial" w:cs="Arial"/>
          <w:lang/>
        </w:rPr>
        <w:t>he</w:t>
      </w:r>
      <w:proofErr w:type="gramEnd"/>
      <w:r w:rsidRPr="009B723B">
        <w:rPr>
          <w:rFonts w:ascii="Arial" w:eastAsia="Times New Roman" w:hAnsi="Arial" w:cs="Arial"/>
          <w:lang/>
        </w:rPr>
        <w:t xml:space="preserve"> restored our national pride again. One has to weigh that against the other things.’”</w:t>
      </w:r>
      <w:hyperlink r:id="rId7" w:anchor="3" w:history="1">
        <w:r w:rsidRPr="009B723B">
          <w:rPr>
            <w:rFonts w:ascii="Arial" w:eastAsia="Times New Roman" w:hAnsi="Arial" w:cs="Arial"/>
            <w:color w:val="000000"/>
            <w:u w:val="single"/>
            <w:vertAlign w:val="superscript"/>
            <w:lang/>
          </w:rPr>
          <w:t>3</w:t>
        </w:r>
      </w:hyperlink>
      <w:r w:rsidRPr="009B723B">
        <w:rPr>
          <w:rFonts w:ascii="Arial" w:eastAsia="Times New Roman" w:hAnsi="Arial" w:cs="Arial"/>
          <w:lang/>
        </w:rPr>
        <w:t xml:space="preserve"> </w:t>
      </w:r>
      <w:r w:rsidRPr="009B723B">
        <w:rPr>
          <w:rFonts w:ascii="Arial" w:eastAsia="Times New Roman" w:hAnsi="Arial" w:cs="Arial"/>
          <w:sz w:val="15"/>
          <w:lang/>
        </w:rPr>
        <w:t>[3]</w:t>
      </w:r>
    </w:p>
    <w:p w:rsidR="009B723B" w:rsidRPr="009B723B" w:rsidRDefault="009B723B" w:rsidP="009B723B">
      <w:pPr>
        <w:spacing w:after="0" w:line="240" w:lineRule="auto"/>
        <w:rPr>
          <w:rFonts w:ascii="Arial" w:eastAsia="Times New Roman" w:hAnsi="Arial" w:cs="Arial"/>
          <w:lang/>
        </w:rPr>
      </w:pPr>
      <w:r w:rsidRPr="009B723B">
        <w:rPr>
          <w:rFonts w:ascii="Arial" w:eastAsia="Times New Roman" w:hAnsi="Arial" w:cs="Arial"/>
          <w:lang/>
        </w:rPr>
        <w:t>Connections: </w:t>
      </w:r>
    </w:p>
    <w:p w:rsidR="009B723B" w:rsidRPr="009B723B" w:rsidRDefault="009B723B" w:rsidP="009B723B">
      <w:pPr>
        <w:numPr>
          <w:ilvl w:val="0"/>
          <w:numId w:val="1"/>
        </w:numPr>
        <w:spacing w:before="100" w:beforeAutospacing="1" w:after="100" w:afterAutospacing="1" w:line="240" w:lineRule="auto"/>
        <w:ind w:left="960"/>
        <w:rPr>
          <w:rFonts w:ascii="Arial" w:eastAsia="Times New Roman" w:hAnsi="Arial" w:cs="Arial"/>
          <w:lang/>
        </w:rPr>
      </w:pPr>
      <w:r w:rsidRPr="009B723B">
        <w:rPr>
          <w:rFonts w:ascii="Arial" w:eastAsia="Times New Roman" w:hAnsi="Arial" w:cs="Arial"/>
          <w:lang/>
        </w:rPr>
        <w:t xml:space="preserve">Each of the individuals quoted in this reading reached a decision as a result of the events of </w:t>
      </w:r>
      <w:r w:rsidRPr="009B723B">
        <w:rPr>
          <w:rFonts w:ascii="Arial" w:eastAsia="Times New Roman" w:hAnsi="Arial" w:cs="Arial"/>
          <w:i/>
          <w:iCs/>
          <w:lang/>
        </w:rPr>
        <w:t xml:space="preserve">Kristallnacht. </w:t>
      </w:r>
      <w:r w:rsidRPr="009B723B">
        <w:rPr>
          <w:rFonts w:ascii="Arial" w:eastAsia="Times New Roman" w:hAnsi="Arial" w:cs="Arial"/>
          <w:lang/>
        </w:rPr>
        <w:t>How did each make his or her decision? What values and beliefs shaped the choice each made?</w:t>
      </w:r>
    </w:p>
    <w:p w:rsidR="009B723B" w:rsidRPr="009B723B" w:rsidRDefault="009B723B" w:rsidP="009B723B">
      <w:pPr>
        <w:numPr>
          <w:ilvl w:val="0"/>
          <w:numId w:val="2"/>
        </w:numPr>
        <w:spacing w:before="100" w:beforeAutospacing="1" w:after="100" w:afterAutospacing="1" w:line="240" w:lineRule="auto"/>
        <w:ind w:left="960"/>
        <w:rPr>
          <w:rFonts w:ascii="Arial" w:eastAsia="Times New Roman" w:hAnsi="Arial" w:cs="Arial"/>
          <w:lang/>
        </w:rPr>
      </w:pPr>
      <w:r w:rsidRPr="009B723B">
        <w:rPr>
          <w:rFonts w:ascii="Arial" w:eastAsia="Times New Roman" w:hAnsi="Arial" w:cs="Arial"/>
          <w:lang/>
        </w:rPr>
        <w:t>What were the short-term consequences of each choice described in the reading? The long-term consequences? For example, what do you think happened to non-Jews who resigned from the Nazi party? Tried to emigrate? Protested? What does each decision tell you about the person’s “universe of obligation”? How were the choices open to each individual different from the ones he or she could have made in 1933? In 1935?</w:t>
      </w:r>
    </w:p>
    <w:p w:rsidR="009B723B" w:rsidRPr="009B723B" w:rsidRDefault="009B723B" w:rsidP="009B723B">
      <w:pPr>
        <w:numPr>
          <w:ilvl w:val="0"/>
          <w:numId w:val="3"/>
        </w:numPr>
        <w:spacing w:before="100" w:beforeAutospacing="1" w:after="100" w:afterAutospacing="1" w:line="240" w:lineRule="auto"/>
        <w:ind w:left="960"/>
        <w:rPr>
          <w:rFonts w:ascii="Arial" w:eastAsia="Times New Roman" w:hAnsi="Arial" w:cs="Arial"/>
          <w:lang/>
        </w:rPr>
      </w:pPr>
      <w:r w:rsidRPr="009B723B">
        <w:rPr>
          <w:rFonts w:ascii="Arial" w:eastAsia="Times New Roman" w:hAnsi="Arial" w:cs="Arial"/>
          <w:lang/>
        </w:rPr>
        <w:t xml:space="preserve">What did </w:t>
      </w:r>
      <w:proofErr w:type="spellStart"/>
      <w:r w:rsidRPr="009B723B">
        <w:rPr>
          <w:rFonts w:ascii="Arial" w:eastAsia="Times New Roman" w:hAnsi="Arial" w:cs="Arial"/>
          <w:lang/>
        </w:rPr>
        <w:t>Melita</w:t>
      </w:r>
      <w:proofErr w:type="spellEnd"/>
      <w:r w:rsidRPr="009B723B">
        <w:rPr>
          <w:rFonts w:ascii="Arial" w:eastAsia="Times New Roman" w:hAnsi="Arial" w:cs="Arial"/>
          <w:lang/>
        </w:rPr>
        <w:t xml:space="preserve"> </w:t>
      </w:r>
      <w:proofErr w:type="spellStart"/>
      <w:r w:rsidRPr="009B723B">
        <w:rPr>
          <w:rFonts w:ascii="Arial" w:eastAsia="Times New Roman" w:hAnsi="Arial" w:cs="Arial"/>
          <w:lang/>
        </w:rPr>
        <w:t>Maschmann</w:t>
      </w:r>
      <w:proofErr w:type="spellEnd"/>
      <w:r w:rsidRPr="009B723B">
        <w:rPr>
          <w:rFonts w:ascii="Arial" w:eastAsia="Times New Roman" w:hAnsi="Arial" w:cs="Arial"/>
          <w:lang/>
        </w:rPr>
        <w:t xml:space="preserve"> mean when she says “I constructed for myself a </w:t>
      </w:r>
      <w:proofErr w:type="gramStart"/>
      <w:r w:rsidRPr="009B723B">
        <w:rPr>
          <w:rFonts w:ascii="Arial" w:eastAsia="Times New Roman" w:hAnsi="Arial" w:cs="Arial"/>
          <w:lang/>
        </w:rPr>
        <w:t>justification</w:t>
      </w:r>
      <w:proofErr w:type="gramEnd"/>
      <w:r w:rsidRPr="009B723B">
        <w:rPr>
          <w:rFonts w:ascii="Arial" w:eastAsia="Times New Roman" w:hAnsi="Arial" w:cs="Arial"/>
          <w:lang/>
        </w:rPr>
        <w:t xml:space="preserve"> of the pogrom”? Why did she find it necessary to do so? What did she mean when she says as the years went by, she grew better and better “at forcing the memory of events like the pogrom out of my consciousness as quickly as possible”?</w:t>
      </w:r>
    </w:p>
    <w:p w:rsidR="009B723B" w:rsidRPr="009B723B" w:rsidRDefault="009B723B" w:rsidP="009B723B">
      <w:pPr>
        <w:numPr>
          <w:ilvl w:val="0"/>
          <w:numId w:val="4"/>
        </w:numPr>
        <w:spacing w:before="100" w:beforeAutospacing="1" w:after="100" w:afterAutospacing="1" w:line="240" w:lineRule="auto"/>
        <w:ind w:left="960"/>
        <w:rPr>
          <w:rFonts w:ascii="Arial" w:eastAsia="Times New Roman" w:hAnsi="Arial" w:cs="Arial"/>
          <w:lang/>
        </w:rPr>
      </w:pPr>
      <w:r w:rsidRPr="009B723B">
        <w:rPr>
          <w:rFonts w:ascii="Arial" w:eastAsia="Times New Roman" w:hAnsi="Arial" w:cs="Arial"/>
          <w:lang/>
        </w:rPr>
        <w:t>Evaluate Goldschmidt’s explanation of why public outrage did not last long. Did the good outweigh the “other things”?</w:t>
      </w:r>
    </w:p>
    <w:p w:rsidR="009B723B" w:rsidRPr="009B723B" w:rsidRDefault="009B723B" w:rsidP="009B723B">
      <w:pPr>
        <w:numPr>
          <w:ilvl w:val="0"/>
          <w:numId w:val="5"/>
        </w:numPr>
        <w:spacing w:before="100" w:beforeAutospacing="1" w:after="100" w:afterAutospacing="1" w:line="240" w:lineRule="auto"/>
        <w:ind w:left="960"/>
        <w:rPr>
          <w:rFonts w:ascii="Arial" w:eastAsia="Times New Roman" w:hAnsi="Arial" w:cs="Arial"/>
          <w:lang/>
        </w:rPr>
      </w:pPr>
      <w:r w:rsidRPr="009B723B">
        <w:rPr>
          <w:rFonts w:ascii="Arial" w:eastAsia="Times New Roman" w:hAnsi="Arial" w:cs="Arial"/>
          <w:i/>
          <w:iCs/>
          <w:lang/>
        </w:rPr>
        <w:t xml:space="preserve">Now...After All These Years, </w:t>
      </w:r>
      <w:r w:rsidRPr="009B723B">
        <w:rPr>
          <w:rFonts w:ascii="Arial" w:eastAsia="Times New Roman" w:hAnsi="Arial" w:cs="Arial"/>
          <w:lang/>
        </w:rPr>
        <w:t xml:space="preserve">offers a glimpse of </w:t>
      </w:r>
      <w:r w:rsidRPr="009B723B">
        <w:rPr>
          <w:rFonts w:ascii="Arial" w:eastAsia="Times New Roman" w:hAnsi="Arial" w:cs="Arial"/>
          <w:i/>
          <w:iCs/>
          <w:lang/>
        </w:rPr>
        <w:t xml:space="preserve">Kristallnacht </w:t>
      </w:r>
      <w:r w:rsidRPr="009B723B">
        <w:rPr>
          <w:rFonts w:ascii="Arial" w:eastAsia="Times New Roman" w:hAnsi="Arial" w:cs="Arial"/>
          <w:lang/>
        </w:rPr>
        <w:t xml:space="preserve">by combining interviews with current citizens of </w:t>
      </w:r>
      <w:proofErr w:type="spellStart"/>
      <w:r w:rsidRPr="009B723B">
        <w:rPr>
          <w:rFonts w:ascii="Arial" w:eastAsia="Times New Roman" w:hAnsi="Arial" w:cs="Arial"/>
          <w:lang/>
        </w:rPr>
        <w:t>Rhina</w:t>
      </w:r>
      <w:proofErr w:type="spellEnd"/>
      <w:r w:rsidRPr="009B723B">
        <w:rPr>
          <w:rFonts w:ascii="Arial" w:eastAsia="Times New Roman" w:hAnsi="Arial" w:cs="Arial"/>
          <w:lang/>
        </w:rPr>
        <w:t>, a small town in Germany, and the town’s former citizens. The video, which is available from the Facing History Resource Center, raises questions about how one’s perspective affects his or her view of an event.</w:t>
      </w:r>
    </w:p>
    <w:p w:rsidR="00425247" w:rsidRDefault="009B723B"/>
    <w:sectPr w:rsidR="00425247" w:rsidSect="009B72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B92"/>
    <w:multiLevelType w:val="multilevel"/>
    <w:tmpl w:val="1302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B4644"/>
    <w:multiLevelType w:val="multilevel"/>
    <w:tmpl w:val="BDF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51EA1"/>
    <w:multiLevelType w:val="multilevel"/>
    <w:tmpl w:val="71B0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2A63D2"/>
    <w:multiLevelType w:val="multilevel"/>
    <w:tmpl w:val="873E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8676C"/>
    <w:multiLevelType w:val="multilevel"/>
    <w:tmpl w:val="E5FA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B723B"/>
    <w:rsid w:val="00791A91"/>
    <w:rsid w:val="009B723B"/>
    <w:rsid w:val="00AA4F99"/>
    <w:rsid w:val="00C50AE1"/>
    <w:rsid w:val="00C75848"/>
    <w:rsid w:val="00E24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48"/>
  </w:style>
  <w:style w:type="paragraph" w:styleId="Heading1">
    <w:name w:val="heading 1"/>
    <w:basedOn w:val="Normal"/>
    <w:link w:val="Heading1Char"/>
    <w:uiPriority w:val="9"/>
    <w:qFormat/>
    <w:rsid w:val="009B7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72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2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723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B723B"/>
    <w:rPr>
      <w:color w:val="000000"/>
      <w:u w:val="single"/>
    </w:rPr>
  </w:style>
  <w:style w:type="paragraph" w:styleId="NormalWeb">
    <w:name w:val="Normal (Web)"/>
    <w:basedOn w:val="Normal"/>
    <w:uiPriority w:val="99"/>
    <w:semiHidden/>
    <w:unhideWhenUsed/>
    <w:rsid w:val="009B723B"/>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9B723B"/>
    <w:rPr>
      <w:i/>
      <w:iCs/>
    </w:rPr>
  </w:style>
  <w:style w:type="character" w:customStyle="1" w:styleId="print-footnote1">
    <w:name w:val="print-footnote1"/>
    <w:basedOn w:val="DefaultParagraphFont"/>
    <w:rsid w:val="009B723B"/>
    <w:rPr>
      <w:sz w:val="15"/>
      <w:szCs w:val="15"/>
    </w:rPr>
  </w:style>
</w:styles>
</file>

<file path=word/webSettings.xml><?xml version="1.0" encoding="utf-8"?>
<w:webSettings xmlns:r="http://schemas.openxmlformats.org/officeDocument/2006/relationships" xmlns:w="http://schemas.openxmlformats.org/wordprocessingml/2006/main">
  <w:divs>
    <w:div w:id="91116215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13465580">
          <w:marLeft w:val="0"/>
          <w:marRight w:val="0"/>
          <w:marTop w:val="0"/>
          <w:marBottom w:val="0"/>
          <w:divBdr>
            <w:top w:val="none" w:sz="0" w:space="0" w:color="auto"/>
            <w:left w:val="none" w:sz="0" w:space="0" w:color="auto"/>
            <w:bottom w:val="none" w:sz="0" w:space="0" w:color="auto"/>
            <w:right w:val="none" w:sz="0" w:space="0" w:color="auto"/>
          </w:divBdr>
          <w:divsChild>
            <w:div w:id="884483718">
              <w:marLeft w:val="0"/>
              <w:marRight w:val="0"/>
              <w:marTop w:val="0"/>
              <w:marBottom w:val="0"/>
              <w:divBdr>
                <w:top w:val="none" w:sz="0" w:space="0" w:color="auto"/>
                <w:left w:val="none" w:sz="0" w:space="0" w:color="auto"/>
                <w:bottom w:val="none" w:sz="0" w:space="0" w:color="auto"/>
                <w:right w:val="none" w:sz="0" w:space="0" w:color="auto"/>
              </w:divBdr>
              <w:divsChild>
                <w:div w:id="1549872613">
                  <w:marLeft w:val="0"/>
                  <w:marRight w:val="0"/>
                  <w:marTop w:val="0"/>
                  <w:marBottom w:val="0"/>
                  <w:divBdr>
                    <w:top w:val="none" w:sz="0" w:space="0" w:color="auto"/>
                    <w:left w:val="none" w:sz="0" w:space="0" w:color="auto"/>
                    <w:bottom w:val="none" w:sz="0" w:space="0" w:color="auto"/>
                    <w:right w:val="none" w:sz="0" w:space="0" w:color="auto"/>
                  </w:divBdr>
                  <w:divsChild>
                    <w:div w:id="1240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398">
              <w:marLeft w:val="0"/>
              <w:marRight w:val="0"/>
              <w:marTop w:val="0"/>
              <w:marBottom w:val="0"/>
              <w:divBdr>
                <w:top w:val="none" w:sz="0" w:space="0" w:color="auto"/>
                <w:left w:val="none" w:sz="0" w:space="0" w:color="auto"/>
                <w:bottom w:val="none" w:sz="0" w:space="0" w:color="auto"/>
                <w:right w:val="none" w:sz="0" w:space="0" w:color="auto"/>
              </w:divBdr>
              <w:divsChild>
                <w:div w:id="1961299461">
                  <w:marLeft w:val="0"/>
                  <w:marRight w:val="0"/>
                  <w:marTop w:val="0"/>
                  <w:marBottom w:val="0"/>
                  <w:divBdr>
                    <w:top w:val="none" w:sz="0" w:space="0" w:color="auto"/>
                    <w:left w:val="none" w:sz="0" w:space="0" w:color="auto"/>
                    <w:bottom w:val="none" w:sz="0" w:space="0" w:color="auto"/>
                    <w:right w:val="none" w:sz="0" w:space="0" w:color="auto"/>
                  </w:divBdr>
                </w:div>
                <w:div w:id="629474728">
                  <w:marLeft w:val="0"/>
                  <w:marRight w:val="0"/>
                  <w:marTop w:val="0"/>
                  <w:marBottom w:val="0"/>
                  <w:divBdr>
                    <w:top w:val="none" w:sz="0" w:space="0" w:color="auto"/>
                    <w:left w:val="none" w:sz="0" w:space="0" w:color="auto"/>
                    <w:bottom w:val="none" w:sz="0" w:space="0" w:color="auto"/>
                    <w:right w:val="none" w:sz="0" w:space="0" w:color="auto"/>
                  </w:divBdr>
                  <w:divsChild>
                    <w:div w:id="16787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inghistory.org/resources/hhb/print/34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inghistory.org/resources/hhb/print/3472" TargetMode="External"/><Relationship Id="rId5" Type="http://schemas.openxmlformats.org/officeDocument/2006/relationships/hyperlink" Target="http://www.facinghistory.org/resources/hhb/print/34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4760</Characters>
  <Application>Microsoft Office Word</Application>
  <DocSecurity>0</DocSecurity>
  <Lines>39</Lines>
  <Paragraphs>11</Paragraphs>
  <ScaleCrop>false</ScaleCrop>
  <Company>raypec</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ajames</dc:creator>
  <cp:keywords/>
  <dc:description/>
  <cp:lastModifiedBy>ajames</cp:lastModifiedBy>
  <cp:revision>1</cp:revision>
  <cp:lastPrinted>2011-10-10T15:25:00Z</cp:lastPrinted>
  <dcterms:created xsi:type="dcterms:W3CDTF">2011-10-10T15:23:00Z</dcterms:created>
  <dcterms:modified xsi:type="dcterms:W3CDTF">2011-10-10T15:25:00Z</dcterms:modified>
</cp:coreProperties>
</file>